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04" w:rsidRPr="00891B04" w:rsidRDefault="00891B04" w:rsidP="00891B04">
      <w:pPr>
        <w:pStyle w:val="2"/>
        <w:ind w:left="-180" w:right="-185" w:firstLine="720"/>
        <w:jc w:val="center"/>
        <w:rPr>
          <w:sz w:val="28"/>
          <w:szCs w:val="28"/>
          <w:lang w:val="ru-RU"/>
        </w:rPr>
      </w:pPr>
      <w:r w:rsidRPr="00891B04">
        <w:rPr>
          <w:sz w:val="28"/>
          <w:szCs w:val="28"/>
        </w:rPr>
        <w:t>В.И.ТРОЯН, О.В. ЛОБОВА, И.А СИНАЙКО (ЗАПОРОЖЬЕ, УКРАИНА)</w:t>
      </w:r>
    </w:p>
    <w:p w:rsidR="00891B04" w:rsidRPr="00891B04" w:rsidRDefault="00891B04" w:rsidP="00891B04">
      <w:pPr>
        <w:pStyle w:val="6"/>
        <w:spacing w:line="360" w:lineRule="auto"/>
        <w:ind w:left="-180" w:right="-185" w:firstLine="720"/>
        <w:jc w:val="center"/>
        <w:rPr>
          <w:sz w:val="28"/>
          <w:szCs w:val="28"/>
        </w:rPr>
      </w:pPr>
      <w:r w:rsidRPr="00891B04">
        <w:rPr>
          <w:sz w:val="28"/>
          <w:szCs w:val="28"/>
        </w:rPr>
        <w:t>ОПТИМИЗАЦИЯ КОМПЛЕКСНОГО ЛЕЧЕНИЯ БОЛЬНЫХ ОСТРЫМ ПАРАТОНЗИЛЛИТОМ</w:t>
      </w:r>
    </w:p>
    <w:p w:rsidR="00891B04" w:rsidRPr="00891B04" w:rsidRDefault="00891B04" w:rsidP="00891B04">
      <w:pPr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Актуальность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лечения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больных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острым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паратонзиллитом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обусловлена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широкой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распространенностью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возможностью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осложнений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парафарингеальных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абсцессов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флегмоны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глубоких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клетчаточных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пространств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шеи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сепсиса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проведении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недостаточно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адекватной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местной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системной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антибактериальной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>.</w:t>
      </w:r>
    </w:p>
    <w:p w:rsidR="00891B04" w:rsidRPr="00891B04" w:rsidRDefault="00891B04" w:rsidP="00891B04">
      <w:pPr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госпитализированных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ЛОР-клинику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ЗДМУ в 2013-2014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годах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обследовано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пролечено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14,7%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больных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острым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паратонзиллитом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стадии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абсцедирования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возрасте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19 – 55 лет. У 87,8%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имела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передне-верхняя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локализация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гнойного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у 10,1% –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задняя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у 2,1% –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наружная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Стратегия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лечения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этой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категории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больных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предусматривала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первую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очередь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элиминацию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гнойного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очага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B04" w:rsidRPr="00891B04" w:rsidRDefault="00891B04" w:rsidP="00891B04">
      <w:pPr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Значительное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лечении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заболевания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занимала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системная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антибиотикотерапия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Выбор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антибиотика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основывался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чувствительности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типичных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возбудителей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этой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локализации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B04" w:rsidRPr="00891B04" w:rsidRDefault="00891B04" w:rsidP="00891B04">
      <w:pPr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вышеизложенного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антибиограммы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назначали</w:t>
      </w:r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препараты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первого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ряда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являющиеся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комбинацией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ингибиторов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B-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лактамаз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амоксициллин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клавуланат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(20-40 мг/кг),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(40-80 мг/кг).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получения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антибиограммы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переходили на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антибиотики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которым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отсуствовала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устойчивость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высеянной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микрофлоры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1B04" w:rsidRPr="00891B04" w:rsidRDefault="00891B04" w:rsidP="00891B04">
      <w:pPr>
        <w:shd w:val="clear" w:color="auto" w:fill="FFFFFF"/>
        <w:autoSpaceDE w:val="0"/>
        <w:autoSpaceDN w:val="0"/>
        <w:adjustRightInd w:val="0"/>
        <w:spacing w:line="360" w:lineRule="auto"/>
        <w:ind w:left="-180" w:right="-18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Локальная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фармакотерапия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проводилась с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 "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Трахисан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". Препарат 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уникальную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комбинацию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,  а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топический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антибиотик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тиротрицин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содержащий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80%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тироцидина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, и 20%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грамицидина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обладающий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бактерицидным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действием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микроорганизмы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. Спектр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тиротрицина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грамм-положительные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кокки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бактерии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виды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грибов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Candida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albicans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соли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широкий спектр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антимикробного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относительно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грамположительных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грамотрицательных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бактерий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отвечает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распространенным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возбудителям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острого 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паратонзиллита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Входящий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местный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анестетик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91B04">
        <w:rPr>
          <w:rFonts w:ascii="Times New Roman" w:hAnsi="Times New Roman" w:cs="Times New Roman"/>
          <w:sz w:val="28"/>
          <w:szCs w:val="28"/>
        </w:rPr>
        <w:t>идокаина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гидрохлорид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уменьшает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ощущение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боли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дискомфорта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глотке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1B04" w:rsidRPr="00891B04" w:rsidRDefault="00891B04" w:rsidP="00891B04">
      <w:pPr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B04">
        <w:rPr>
          <w:rFonts w:ascii="Times New Roman" w:hAnsi="Times New Roman" w:cs="Times New Roman"/>
          <w:sz w:val="28"/>
          <w:szCs w:val="28"/>
        </w:rPr>
        <w:t xml:space="preserve">Нами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проведены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наблюдения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за 28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пациентами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острым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паратонзиллитом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лечении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применялся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Трахисан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". У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пациентов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односторонним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передней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передне–верхней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локализации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>.</w:t>
      </w:r>
    </w:p>
    <w:p w:rsidR="00891B04" w:rsidRPr="00891B04" w:rsidRDefault="00891B04" w:rsidP="00891B04">
      <w:pPr>
        <w:shd w:val="clear" w:color="auto" w:fill="FFFFFF"/>
        <w:autoSpaceDE w:val="0"/>
        <w:autoSpaceDN w:val="0"/>
        <w:adjustRightInd w:val="0"/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пациентам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основной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местной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анестезией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выполнялось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вскрытие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паратонзиллярного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абсцесса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последующим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дренированием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полной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санации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паратонзиллярного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пространства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и проводилась 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системная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антибактериальная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первого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ряда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локальной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фармакотерапией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color w:val="000000"/>
          <w:sz w:val="28"/>
          <w:szCs w:val="28"/>
        </w:rPr>
        <w:t>трахисаном</w:t>
      </w:r>
      <w:proofErr w:type="spellEnd"/>
      <w:r w:rsidRPr="00891B04">
        <w:rPr>
          <w:rFonts w:ascii="Times New Roman" w:hAnsi="Times New Roman" w:cs="Times New Roman"/>
          <w:color w:val="000000"/>
          <w:sz w:val="28"/>
          <w:szCs w:val="28"/>
        </w:rPr>
        <w:t xml:space="preserve"> по 8 таблеток   в сутки. </w:t>
      </w:r>
    </w:p>
    <w:p w:rsidR="00891B04" w:rsidRPr="00891B04" w:rsidRDefault="00891B04" w:rsidP="00891B04">
      <w:pPr>
        <w:shd w:val="clear" w:color="auto" w:fill="FFFFFF"/>
        <w:autoSpaceDE w:val="0"/>
        <w:autoSpaceDN w:val="0"/>
        <w:adjustRightInd w:val="0"/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Эффективность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“Трахисана”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оценивали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купированию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клинических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проявлений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заболевания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 Так,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исследуемой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группе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боль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горле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прекратилась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через 2,8±0,37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Сроки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лечения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составили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у них 5,3±0,67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B04" w:rsidRPr="00891B04" w:rsidRDefault="00891B04" w:rsidP="00891B04">
      <w:pPr>
        <w:shd w:val="clear" w:color="auto" w:fill="FFFFFF"/>
        <w:autoSpaceDE w:val="0"/>
        <w:autoSpaceDN w:val="0"/>
        <w:adjustRightInd w:val="0"/>
        <w:spacing w:line="360" w:lineRule="auto"/>
        <w:ind w:left="-18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B0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полученные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результате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свидетельствуют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топический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антибактериальный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препарат «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Трахисан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высокоэффективным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лечении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гнойно–воспалительных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заболеваний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глотки. Препарат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переносится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пациентами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удобен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применении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использоваться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качестве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топического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антибиотика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комплексном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лечении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04">
        <w:rPr>
          <w:rFonts w:ascii="Times New Roman" w:hAnsi="Times New Roman" w:cs="Times New Roman"/>
          <w:sz w:val="28"/>
          <w:szCs w:val="28"/>
        </w:rPr>
        <w:t>паратонзиллитов</w:t>
      </w:r>
      <w:proofErr w:type="spellEnd"/>
      <w:r w:rsidRPr="00891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B04" w:rsidRPr="00891B04" w:rsidRDefault="00891B04" w:rsidP="00891B04">
      <w:pPr>
        <w:ind w:left="-180" w:right="-185" w:firstLine="720"/>
        <w:rPr>
          <w:rFonts w:ascii="Times New Roman" w:hAnsi="Times New Roman" w:cs="Times New Roman"/>
        </w:rPr>
      </w:pPr>
    </w:p>
    <w:p w:rsidR="00891B04" w:rsidRDefault="00891B04" w:rsidP="00891B04">
      <w:pPr>
        <w:ind w:left="-360" w:right="-185" w:firstLine="720"/>
        <w:jc w:val="center"/>
        <w:rPr>
          <w:i/>
          <w:sz w:val="28"/>
          <w:szCs w:val="28"/>
        </w:rPr>
      </w:pPr>
    </w:p>
    <w:p w:rsidR="00891B04" w:rsidRDefault="00891B04" w:rsidP="00891B04">
      <w:pPr>
        <w:ind w:left="-360" w:right="-185" w:firstLine="720"/>
        <w:jc w:val="center"/>
        <w:rPr>
          <w:i/>
          <w:sz w:val="28"/>
          <w:szCs w:val="28"/>
        </w:rPr>
      </w:pPr>
    </w:p>
    <w:p w:rsidR="00891B04" w:rsidRDefault="00891B04" w:rsidP="00891B04">
      <w:pPr>
        <w:ind w:left="-360" w:right="-185" w:firstLine="720"/>
        <w:jc w:val="center"/>
        <w:rPr>
          <w:i/>
          <w:sz w:val="28"/>
          <w:szCs w:val="28"/>
        </w:rPr>
      </w:pPr>
    </w:p>
    <w:p w:rsidR="00D5250C" w:rsidRDefault="00D5250C"/>
    <w:sectPr w:rsidR="00D52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1B04"/>
    <w:rsid w:val="00891B04"/>
    <w:rsid w:val="00D5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1B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91B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B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1B04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2047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2015-10-10T16:20:00Z</dcterms:created>
  <dcterms:modified xsi:type="dcterms:W3CDTF">2015-10-10T16:22:00Z</dcterms:modified>
</cp:coreProperties>
</file>